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C66E31" w:rsidRPr="003900C2" w:rsidRDefault="000F5D25" w:rsidP="00C66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C66E31" w:rsidRDefault="00CF5D6B" w:rsidP="00C66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девятое </w:t>
      </w:r>
      <w:r w:rsidR="00C66E31" w:rsidRPr="004C451A">
        <w:rPr>
          <w:b/>
          <w:bCs/>
          <w:sz w:val="28"/>
          <w:szCs w:val="28"/>
        </w:rPr>
        <w:t xml:space="preserve">заседание  Совета депутатов </w:t>
      </w:r>
      <w:proofErr w:type="spellStart"/>
      <w:r w:rsidR="00C66E31" w:rsidRPr="004C451A">
        <w:rPr>
          <w:b/>
          <w:bCs/>
          <w:sz w:val="28"/>
          <w:szCs w:val="28"/>
        </w:rPr>
        <w:t>Бакурского</w:t>
      </w:r>
      <w:proofErr w:type="spellEnd"/>
      <w:r w:rsidR="00C66E31"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>от</w:t>
      </w:r>
      <w:r w:rsidR="00CF5D6B">
        <w:rPr>
          <w:b/>
          <w:sz w:val="28"/>
          <w:szCs w:val="28"/>
        </w:rPr>
        <w:t xml:space="preserve"> 12 апреля </w:t>
      </w:r>
      <w:r w:rsidRPr="004C451A">
        <w:rPr>
          <w:b/>
          <w:sz w:val="28"/>
          <w:szCs w:val="28"/>
        </w:rPr>
        <w:t xml:space="preserve"> 2022г.   №</w:t>
      </w:r>
      <w:r w:rsidR="000F5D25">
        <w:rPr>
          <w:b/>
          <w:sz w:val="28"/>
          <w:szCs w:val="28"/>
        </w:rPr>
        <w:t xml:space="preserve"> </w:t>
      </w:r>
      <w:r w:rsidR="00CF5D6B">
        <w:rPr>
          <w:b/>
          <w:sz w:val="28"/>
          <w:szCs w:val="28"/>
        </w:rPr>
        <w:t>69-175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</w:t>
      </w:r>
      <w:r w:rsidR="00C66E3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</w:t>
      </w:r>
      <w:r w:rsidR="00CF5D6B">
        <w:rPr>
          <w:szCs w:val="24"/>
        </w:rPr>
        <w:t>отчет</w:t>
      </w:r>
      <w:r>
        <w:rPr>
          <w:szCs w:val="24"/>
        </w:rPr>
        <w:t xml:space="preserve">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отчет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</w:t>
      </w:r>
      <w:r w:rsidR="00C66E31">
        <w:rPr>
          <w:szCs w:val="24"/>
        </w:rPr>
        <w:t>1</w:t>
      </w:r>
      <w:r>
        <w:rPr>
          <w:szCs w:val="24"/>
        </w:rPr>
        <w:t xml:space="preserve"> год по общему объему доходов в сумме </w:t>
      </w:r>
      <w:r w:rsidR="009F3C46">
        <w:rPr>
          <w:szCs w:val="24"/>
        </w:rPr>
        <w:t>8072,5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9F3C46">
        <w:rPr>
          <w:b/>
          <w:szCs w:val="24"/>
        </w:rPr>
        <w:t xml:space="preserve">7023,8 </w:t>
      </w:r>
      <w:r w:rsidR="00C3439C">
        <w:rPr>
          <w:b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>
        <w:rPr>
          <w:szCs w:val="24"/>
        </w:rPr>
        <w:t>тыс. рублей</w:t>
      </w:r>
      <w:proofErr w:type="gramStart"/>
      <w:r w:rsidR="009F3C46">
        <w:rPr>
          <w:szCs w:val="24"/>
        </w:rPr>
        <w:t>.</w:t>
      </w:r>
      <w:r>
        <w:rPr>
          <w:szCs w:val="24"/>
        </w:rPr>
        <w:t>.</w:t>
      </w:r>
      <w:proofErr w:type="gramEnd"/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CF5D6B" w:rsidRDefault="00CF5D6B" w:rsidP="00D4035F">
      <w:pPr>
        <w:jc w:val="right"/>
        <w:rPr>
          <w:b/>
          <w:szCs w:val="24"/>
        </w:rPr>
      </w:pPr>
    </w:p>
    <w:p w:rsidR="00CF5D6B" w:rsidRDefault="00CF5D6B" w:rsidP="00D4035F">
      <w:pPr>
        <w:jc w:val="right"/>
        <w:rPr>
          <w:b/>
          <w:szCs w:val="24"/>
        </w:rPr>
      </w:pPr>
    </w:p>
    <w:p w:rsidR="00CF5D6B" w:rsidRDefault="00CF5D6B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lastRenderedPageBreak/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t xml:space="preserve">                             </w:t>
      </w:r>
      <w:r w:rsidR="00535E05">
        <w:rPr>
          <w:szCs w:val="24"/>
        </w:rPr>
        <w:t xml:space="preserve">            </w:t>
      </w:r>
      <w:r w:rsidRPr="00D4035F">
        <w:rPr>
          <w:szCs w:val="24"/>
        </w:rPr>
        <w:t xml:space="preserve">     муниципального образования № </w:t>
      </w:r>
      <w:r w:rsidR="00535E05">
        <w:rPr>
          <w:szCs w:val="24"/>
        </w:rPr>
        <w:t>69-175</w:t>
      </w:r>
      <w:r w:rsidRPr="00D4035F">
        <w:rPr>
          <w:szCs w:val="24"/>
        </w:rPr>
        <w:t xml:space="preserve">  от</w:t>
      </w:r>
      <w:r w:rsidR="00535E05">
        <w:rPr>
          <w:szCs w:val="24"/>
        </w:rPr>
        <w:t xml:space="preserve"> 12 апреля </w:t>
      </w:r>
      <w:r w:rsidRPr="00D4035F">
        <w:rPr>
          <w:szCs w:val="24"/>
        </w:rPr>
        <w:t xml:space="preserve"> 2022  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9100" w:type="dxa"/>
        <w:tblInd w:w="92" w:type="dxa"/>
        <w:tblLook w:val="04A0"/>
      </w:tblPr>
      <w:tblGrid>
        <w:gridCol w:w="221"/>
        <w:gridCol w:w="222"/>
        <w:gridCol w:w="8592"/>
        <w:gridCol w:w="222"/>
        <w:gridCol w:w="222"/>
      </w:tblGrid>
      <w:tr w:rsidR="00D4035F" w:rsidRPr="00D4035F" w:rsidTr="00D4035F">
        <w:trPr>
          <w:trHeight w:val="315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</w:tr>
      <w:tr w:rsidR="00D4035F" w:rsidRPr="00D4035F" w:rsidTr="00D4035F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752"/>
        <w:gridCol w:w="3521"/>
        <w:gridCol w:w="3075"/>
        <w:gridCol w:w="1762"/>
        <w:gridCol w:w="461"/>
      </w:tblGrid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7052,20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000 1 01 02000 00 0000 110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5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4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182 1 01 02020 01 0000 110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182 1 01 02030 01 0000 110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-1,40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4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000 1 05 03000 00 0000 110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8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182 1 05 03010 01 0000 110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4361,00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000 1 06 01000 00 0000  110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182 1 06 01030 10 0000 110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000 1 06 06000 00 0000 110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4043,30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182 1 06 06033 10 0000 110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1703,20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182 1 06 06043 10 0000 110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2340,10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34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223 1 11 05035 10 0000 120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000 2 02 00000 00  0000 000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000 2 02 15001 00  0000 150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118,60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223 2 02 15001 10 0002 150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34,90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000 2 02 35000 00 0000 150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8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223 2 02 35118 10 0000 150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626,40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000 2 02 40014 00 0000 150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52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223 2 02 40014 10 0001 150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71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223 2 02 49999 00 0054 150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12617" w:type="dxa"/>
        <w:tblInd w:w="92" w:type="dxa"/>
        <w:tblLook w:val="04A0"/>
      </w:tblPr>
      <w:tblGrid>
        <w:gridCol w:w="960"/>
        <w:gridCol w:w="960"/>
        <w:gridCol w:w="460"/>
        <w:gridCol w:w="960"/>
        <w:gridCol w:w="960"/>
        <w:gridCol w:w="960"/>
        <w:gridCol w:w="810"/>
        <w:gridCol w:w="150"/>
        <w:gridCol w:w="660"/>
        <w:gridCol w:w="300"/>
        <w:gridCol w:w="510"/>
        <w:gridCol w:w="450"/>
        <w:gridCol w:w="1657"/>
        <w:gridCol w:w="600"/>
        <w:gridCol w:w="1260"/>
        <w:gridCol w:w="960"/>
      </w:tblGrid>
      <w:tr w:rsidR="00D4035F" w:rsidRPr="00D4035F" w:rsidTr="00535E05">
        <w:trPr>
          <w:gridAfter w:val="3"/>
          <w:wAfter w:w="2820" w:type="dxa"/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535E05">
        <w:trPr>
          <w:gridAfter w:val="3"/>
          <w:wAfter w:w="2820" w:type="dxa"/>
          <w:trHeight w:val="315"/>
        </w:trPr>
        <w:tc>
          <w:tcPr>
            <w:tcW w:w="9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535E05">
            <w:pPr>
              <w:rPr>
                <w:szCs w:val="24"/>
              </w:rPr>
            </w:pPr>
            <w:r w:rsidRPr="00D4035F">
              <w:rPr>
                <w:szCs w:val="24"/>
              </w:rPr>
              <w:t xml:space="preserve">к  решению Совета депутатов муниципального образования </w:t>
            </w:r>
            <w:r w:rsidR="00535E05" w:rsidRPr="00D4035F">
              <w:rPr>
                <w:szCs w:val="24"/>
              </w:rPr>
              <w:t xml:space="preserve">№ </w:t>
            </w:r>
            <w:r w:rsidR="00535E05">
              <w:rPr>
                <w:szCs w:val="24"/>
              </w:rPr>
              <w:t>69-175</w:t>
            </w:r>
            <w:r w:rsidR="00535E05" w:rsidRPr="00D4035F">
              <w:rPr>
                <w:szCs w:val="24"/>
              </w:rPr>
              <w:t xml:space="preserve">  от</w:t>
            </w:r>
            <w:r w:rsidR="00535E05">
              <w:rPr>
                <w:szCs w:val="24"/>
              </w:rPr>
              <w:t xml:space="preserve"> 12 апреля </w:t>
            </w:r>
            <w:r w:rsidR="00535E05" w:rsidRPr="00D4035F">
              <w:rPr>
                <w:szCs w:val="24"/>
              </w:rPr>
              <w:t xml:space="preserve"> 2022  г</w:t>
            </w:r>
          </w:p>
        </w:tc>
      </w:tr>
      <w:tr w:rsidR="00D4035F" w:rsidRPr="00D4035F" w:rsidTr="00535E05">
        <w:trPr>
          <w:gridAfter w:val="3"/>
          <w:wAfter w:w="2820" w:type="dxa"/>
          <w:trHeight w:val="300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535E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535E05">
        <w:trPr>
          <w:trHeight w:val="315"/>
        </w:trPr>
        <w:tc>
          <w:tcPr>
            <w:tcW w:w="10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</w:tr>
      <w:tr w:rsidR="00D4035F" w:rsidRPr="00D4035F" w:rsidTr="00535E0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535E0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  <w:r w:rsidRPr="00D4035F">
              <w:rPr>
                <w:rFonts w:ascii="Calibri" w:hAnsi="Calibri"/>
                <w:szCs w:val="24"/>
              </w:rPr>
              <w:t>(тыс</w:t>
            </w:r>
            <w:proofErr w:type="gramStart"/>
            <w:r w:rsidRPr="00D4035F">
              <w:rPr>
                <w:rFonts w:ascii="Calibri" w:hAnsi="Calibri"/>
                <w:szCs w:val="24"/>
              </w:rPr>
              <w:t>.р</w:t>
            </w:r>
            <w:proofErr w:type="gramEnd"/>
            <w:r w:rsidRPr="00D4035F">
              <w:rPr>
                <w:rFonts w:ascii="Calibri" w:hAnsi="Calibri"/>
                <w:szCs w:val="24"/>
              </w:rPr>
              <w:t>ублей)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91"/>
        <w:gridCol w:w="891"/>
        <w:gridCol w:w="2177"/>
        <w:gridCol w:w="890"/>
        <w:gridCol w:w="890"/>
        <w:gridCol w:w="890"/>
        <w:gridCol w:w="890"/>
        <w:gridCol w:w="890"/>
        <w:gridCol w:w="1162"/>
      </w:tblGrid>
      <w:tr w:rsidR="00D4035F" w:rsidRPr="00D4035F" w:rsidTr="00D4035F">
        <w:trPr>
          <w:trHeight w:val="300"/>
        </w:trPr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217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1162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7052,20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258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1 01 02010 01 4000 110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54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0,40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19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4361,00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1 06 01000 00 0000  110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15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4043,30</w:t>
            </w:r>
          </w:p>
        </w:tc>
      </w:tr>
      <w:tr w:rsidR="00D4035F" w:rsidRPr="00D4035F" w:rsidTr="00D4035F">
        <w:trPr>
          <w:trHeight w:val="22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235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3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5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22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1 11 05035 10 0000 120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1 17 05000 00 0000 180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6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1 17 05050 10 0000 180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10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2 02 00000 00  0000 000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2 02 15001 00  0000 150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9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118,60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2 02 15001 10 0002 150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34,90</w:t>
            </w:r>
          </w:p>
        </w:tc>
      </w:tr>
      <w:tr w:rsidR="00D4035F" w:rsidRPr="00D4035F" w:rsidTr="00D4035F">
        <w:trPr>
          <w:trHeight w:val="7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2 02 35118 10 0000 150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49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626,40</w:t>
            </w:r>
          </w:p>
        </w:tc>
      </w:tr>
      <w:tr w:rsidR="00D4035F" w:rsidRPr="00D4035F" w:rsidTr="00D4035F">
        <w:trPr>
          <w:trHeight w:val="226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360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17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223 2 02 49999 00 0054 150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D4035F">
      <w:pPr>
        <w:jc w:val="right"/>
      </w:pPr>
      <w:r>
        <w:lastRenderedPageBreak/>
        <w:t>Приложение №3</w:t>
      </w:r>
    </w:p>
    <w:p w:rsidR="00D4035F" w:rsidRDefault="00D4035F" w:rsidP="00535E05">
      <w:pPr>
        <w:jc w:val="right"/>
        <w:rPr>
          <w:szCs w:val="24"/>
        </w:rPr>
      </w:pPr>
      <w:r w:rsidRPr="00FE387E">
        <w:rPr>
          <w:szCs w:val="24"/>
        </w:rPr>
        <w:t>к  решению Совета деп</w:t>
      </w:r>
      <w:r w:rsidR="00535E05">
        <w:rPr>
          <w:szCs w:val="24"/>
        </w:rPr>
        <w:t xml:space="preserve">утатов муниципального образования </w:t>
      </w:r>
    </w:p>
    <w:p w:rsidR="00535E05" w:rsidRDefault="00535E05" w:rsidP="00535E05">
      <w:pPr>
        <w:jc w:val="right"/>
        <w:rPr>
          <w:b/>
          <w:bCs/>
          <w:szCs w:val="24"/>
        </w:rPr>
      </w:pPr>
      <w:r w:rsidRPr="00D4035F">
        <w:rPr>
          <w:szCs w:val="24"/>
        </w:rPr>
        <w:t xml:space="preserve">№ </w:t>
      </w:r>
      <w:r>
        <w:rPr>
          <w:szCs w:val="24"/>
        </w:rPr>
        <w:t>69-175</w:t>
      </w:r>
      <w:r w:rsidRPr="00D4035F">
        <w:rPr>
          <w:szCs w:val="24"/>
        </w:rPr>
        <w:t xml:space="preserve">  от</w:t>
      </w:r>
      <w:r>
        <w:rPr>
          <w:szCs w:val="24"/>
        </w:rPr>
        <w:t xml:space="preserve"> 12 апреля </w:t>
      </w:r>
      <w:r w:rsidRPr="00D4035F">
        <w:rPr>
          <w:szCs w:val="24"/>
        </w:rPr>
        <w:t xml:space="preserve"> 2022  г</w:t>
      </w:r>
      <w:r w:rsidRPr="00FE387E">
        <w:rPr>
          <w:b/>
          <w:bCs/>
          <w:szCs w:val="24"/>
        </w:rPr>
        <w:t xml:space="preserve"> </w:t>
      </w:r>
    </w:p>
    <w:p w:rsidR="00535E05" w:rsidRDefault="00535E05" w:rsidP="00D4035F">
      <w:pPr>
        <w:rPr>
          <w:b/>
          <w:bCs/>
          <w:szCs w:val="24"/>
        </w:rPr>
      </w:pP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</w:t>
      </w:r>
      <w:proofErr w:type="spellStart"/>
      <w:r w:rsidRPr="00FE387E">
        <w:rPr>
          <w:b/>
          <w:bCs/>
          <w:szCs w:val="24"/>
        </w:rPr>
        <w:t>Бакурского</w:t>
      </w:r>
      <w:proofErr w:type="spellEnd"/>
      <w:r w:rsidRPr="00FE387E">
        <w:rPr>
          <w:b/>
          <w:bCs/>
          <w:szCs w:val="24"/>
        </w:rPr>
        <w:t xml:space="preserve">  му</w:t>
      </w:r>
      <w:r>
        <w:rPr>
          <w:b/>
          <w:bCs/>
          <w:szCs w:val="24"/>
        </w:rPr>
        <w:t>ниципального образования на 2021</w:t>
      </w:r>
      <w:r w:rsidRPr="00FE387E">
        <w:rPr>
          <w:b/>
          <w:bCs/>
          <w:szCs w:val="24"/>
        </w:rPr>
        <w:t xml:space="preserve"> год</w:t>
      </w:r>
    </w:p>
    <w:p w:rsidR="00D4035F" w:rsidRDefault="00D4035F" w:rsidP="00D4035F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Администрация </w:t>
            </w:r>
            <w:proofErr w:type="spellStart"/>
            <w:r w:rsidRPr="00FE387E">
              <w:rPr>
                <w:b/>
                <w:bCs/>
              </w:rPr>
              <w:t>Бакурского</w:t>
            </w:r>
            <w:proofErr w:type="spellEnd"/>
            <w:r w:rsidRPr="00FE387E">
              <w:rPr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товаров, работ и услуг для обеспечения государственных </w:t>
            </w:r>
            <w:r w:rsidRPr="00FE387E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</w:t>
            </w:r>
            <w:r w:rsidRPr="00FE387E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D4035F" w:rsidRPr="00FE387E" w:rsidRDefault="00D4035F" w:rsidP="00D4035F">
      <w:pPr>
        <w:rPr>
          <w:szCs w:val="24"/>
        </w:rPr>
      </w:pPr>
    </w:p>
    <w:p w:rsidR="00D4035F" w:rsidRDefault="00D4035F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535E05" w:rsidRDefault="00535E05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535E05" w:rsidRDefault="00535E05" w:rsidP="00EE72DD">
      <w:pPr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D4035F">
        <w:rPr>
          <w:szCs w:val="24"/>
        </w:rPr>
        <w:t xml:space="preserve">№ </w:t>
      </w:r>
      <w:r>
        <w:rPr>
          <w:szCs w:val="24"/>
        </w:rPr>
        <w:t>69-175</w:t>
      </w:r>
      <w:r w:rsidRPr="00D4035F">
        <w:rPr>
          <w:szCs w:val="24"/>
        </w:rPr>
        <w:t xml:space="preserve">  от</w:t>
      </w:r>
      <w:r>
        <w:rPr>
          <w:szCs w:val="24"/>
        </w:rPr>
        <w:t xml:space="preserve"> 12 апреля </w:t>
      </w:r>
      <w:r w:rsidRPr="00D4035F">
        <w:rPr>
          <w:szCs w:val="24"/>
        </w:rPr>
        <w:t xml:space="preserve"> 2022  г</w:t>
      </w:r>
      <w:r w:rsidRPr="00643914">
        <w:rPr>
          <w:b/>
          <w:bCs/>
          <w:szCs w:val="24"/>
        </w:rPr>
        <w:t xml:space="preserve"> </w:t>
      </w:r>
    </w:p>
    <w:p w:rsidR="00535E05" w:rsidRDefault="00535E05" w:rsidP="00EE72DD">
      <w:pPr>
        <w:rPr>
          <w:b/>
          <w:bCs/>
          <w:szCs w:val="24"/>
        </w:rPr>
      </w:pP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EE72DD" w:rsidRPr="00643914" w:rsidRDefault="00EE72DD" w:rsidP="00EE72DD">
      <w:pPr>
        <w:rPr>
          <w:b/>
          <w:bCs/>
          <w:szCs w:val="24"/>
        </w:rPr>
      </w:pPr>
      <w:proofErr w:type="gramStart"/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  <w:proofErr w:type="gramEnd"/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1</w:t>
      </w:r>
      <w:r w:rsidRPr="00643914">
        <w:rPr>
          <w:b/>
          <w:bCs/>
          <w:szCs w:val="24"/>
        </w:rPr>
        <w:t xml:space="preserve"> год  </w:t>
      </w:r>
    </w:p>
    <w:p w:rsidR="00EE72DD" w:rsidRDefault="00EE72DD" w:rsidP="00EE72DD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850"/>
        <w:gridCol w:w="1418"/>
        <w:gridCol w:w="850"/>
        <w:gridCol w:w="1276"/>
      </w:tblGrid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Default="00EE72DD" w:rsidP="00EE72DD">
            <w:pPr>
              <w:autoSpaceDE w:val="0"/>
              <w:autoSpaceDN w:val="0"/>
              <w:adjustRightInd w:val="0"/>
            </w:pPr>
            <w:r w:rsidRPr="00FE387E">
              <w:t>Под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EE72DD" w:rsidRPr="00FE387E" w:rsidTr="00EE72DD">
        <w:trPr>
          <w:trHeight w:val="13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</w:t>
            </w:r>
            <w:r w:rsidRPr="00FE387E">
              <w:lastRenderedPageBreak/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535E05" w:rsidRDefault="00EE72DD" w:rsidP="00EE72DD">
      <w:pPr>
        <w:jc w:val="right"/>
        <w:rPr>
          <w:szCs w:val="24"/>
        </w:rPr>
      </w:pPr>
      <w:r>
        <w:rPr>
          <w:szCs w:val="24"/>
        </w:rPr>
        <w:t xml:space="preserve"> </w:t>
      </w:r>
    </w:p>
    <w:p w:rsidR="00535E05" w:rsidRDefault="00535E05" w:rsidP="00EE72DD">
      <w:pPr>
        <w:jc w:val="right"/>
        <w:rPr>
          <w:szCs w:val="24"/>
        </w:rPr>
      </w:pPr>
    </w:p>
    <w:p w:rsidR="00535E05" w:rsidRDefault="00535E05" w:rsidP="00EE72DD">
      <w:pPr>
        <w:jc w:val="right"/>
        <w:rPr>
          <w:szCs w:val="24"/>
        </w:rPr>
      </w:pPr>
    </w:p>
    <w:p w:rsidR="00535E05" w:rsidRDefault="00535E05" w:rsidP="00EE72DD">
      <w:pPr>
        <w:jc w:val="right"/>
        <w:rPr>
          <w:szCs w:val="24"/>
        </w:rPr>
      </w:pPr>
    </w:p>
    <w:p w:rsidR="00535E05" w:rsidRDefault="00535E05" w:rsidP="00EE72DD">
      <w:pPr>
        <w:jc w:val="right"/>
        <w:rPr>
          <w:szCs w:val="24"/>
        </w:rPr>
      </w:pPr>
    </w:p>
    <w:p w:rsidR="00535E05" w:rsidRDefault="00535E05" w:rsidP="00EE72DD">
      <w:pPr>
        <w:jc w:val="right"/>
        <w:rPr>
          <w:szCs w:val="24"/>
        </w:rPr>
      </w:pPr>
    </w:p>
    <w:p w:rsidR="00535E05" w:rsidRDefault="00535E05" w:rsidP="00EE72DD">
      <w:pPr>
        <w:jc w:val="right"/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</w:t>
      </w:r>
      <w:r>
        <w:t xml:space="preserve">  Приложение № 5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535E05" w:rsidRDefault="00535E05" w:rsidP="00EE72DD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D4035F">
        <w:rPr>
          <w:szCs w:val="24"/>
        </w:rPr>
        <w:t xml:space="preserve">№ </w:t>
      </w:r>
      <w:r>
        <w:rPr>
          <w:szCs w:val="24"/>
        </w:rPr>
        <w:t>69-175</w:t>
      </w:r>
      <w:r w:rsidRPr="00D4035F">
        <w:rPr>
          <w:szCs w:val="24"/>
        </w:rPr>
        <w:t xml:space="preserve">  от</w:t>
      </w:r>
      <w:r>
        <w:rPr>
          <w:szCs w:val="24"/>
        </w:rPr>
        <w:t xml:space="preserve"> 12 апреля </w:t>
      </w:r>
      <w:r w:rsidRPr="00D4035F">
        <w:rPr>
          <w:szCs w:val="24"/>
        </w:rPr>
        <w:t xml:space="preserve"> 2022  г</w:t>
      </w:r>
      <w:r w:rsidRPr="00C136CC">
        <w:rPr>
          <w:b/>
          <w:szCs w:val="24"/>
        </w:rPr>
        <w:t xml:space="preserve"> </w:t>
      </w:r>
    </w:p>
    <w:p w:rsidR="00535E05" w:rsidRDefault="00535E05" w:rsidP="00EE72DD">
      <w:pPr>
        <w:rPr>
          <w:b/>
          <w:szCs w:val="24"/>
        </w:rPr>
      </w:pPr>
    </w:p>
    <w:p w:rsidR="00EE72DD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EE72DD" w:rsidRPr="00C136CC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>1</w:t>
      </w:r>
      <w:r w:rsidRPr="00C136CC">
        <w:rPr>
          <w:b/>
          <w:szCs w:val="24"/>
        </w:rPr>
        <w:t xml:space="preserve"> год  </w:t>
      </w:r>
    </w:p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EE72DD" w:rsidRPr="00201C27" w:rsidTr="00EE72DD">
        <w:trPr>
          <w:trHeight w:val="50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center"/>
            </w:pPr>
            <w:r w:rsidRPr="00201C27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>Всего тыс</w:t>
            </w:r>
            <w:proofErr w:type="gramStart"/>
            <w:r w:rsidRPr="00C136CC">
              <w:rPr>
                <w:b/>
              </w:rPr>
              <w:t>.р</w:t>
            </w:r>
            <w:proofErr w:type="gramEnd"/>
            <w:r w:rsidRPr="00C136CC">
              <w:rPr>
                <w:b/>
              </w:rPr>
              <w:t>ублей</w:t>
            </w:r>
          </w:p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660,6</w:t>
            </w:r>
          </w:p>
        </w:tc>
      </w:tr>
      <w:tr w:rsidR="00EE72DD" w:rsidRPr="00201C27" w:rsidTr="00EE72DD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1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234,2</w:t>
            </w:r>
          </w:p>
        </w:tc>
      </w:tr>
      <w:tr w:rsidR="00EE72DD" w:rsidRPr="00201C27" w:rsidTr="00EE72DD">
        <w:trPr>
          <w:trHeight w:val="19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5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3324,6</w:t>
            </w:r>
          </w:p>
        </w:tc>
      </w:tr>
      <w:tr w:rsidR="00EE72DD" w:rsidRPr="00201C27" w:rsidTr="00EE72DD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3324,6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20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2436,9</w:t>
            </w:r>
          </w:p>
        </w:tc>
      </w:tr>
      <w:tr w:rsidR="00EE72DD" w:rsidRPr="00201C27" w:rsidTr="00EE72DD">
        <w:trPr>
          <w:trHeight w:val="19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9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9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350,7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</w:t>
            </w:r>
            <w:proofErr w:type="gramStart"/>
            <w:r w:rsidRPr="00201C27">
              <w:t xml:space="preserve"> ,</w:t>
            </w:r>
            <w:proofErr w:type="gramEnd"/>
            <w:r w:rsidRPr="00201C27"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683,4</w:t>
            </w:r>
          </w:p>
        </w:tc>
      </w:tr>
      <w:tr w:rsidR="00EE72DD" w:rsidRPr="00201C27" w:rsidTr="00EE72DD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>
              <w:rPr>
                <w:b/>
              </w:rPr>
              <w:t>480,0</w:t>
            </w:r>
          </w:p>
        </w:tc>
      </w:tr>
      <w:tr w:rsidR="00EE72DD" w:rsidRPr="00201C27" w:rsidTr="00EE72DD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2,6</w:t>
            </w:r>
          </w:p>
        </w:tc>
      </w:tr>
      <w:tr w:rsidR="00EE72DD" w:rsidRPr="00201C27" w:rsidTr="00EE72DD">
        <w:trPr>
          <w:trHeight w:val="9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6000000000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1521,9</w:t>
            </w:r>
          </w:p>
        </w:tc>
      </w:tr>
      <w:tr w:rsidR="00EE72DD" w:rsidRPr="00201C27" w:rsidTr="00EE72DD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МП</w:t>
            </w:r>
            <w:proofErr w:type="gramStart"/>
            <w:r w:rsidRPr="00201C27">
              <w:t>«Р</w:t>
            </w:r>
            <w:proofErr w:type="gramEnd"/>
            <w:r w:rsidRPr="00201C27">
              <w:t xml:space="preserve">азвитие физкультуры и спорта в </w:t>
            </w:r>
            <w:proofErr w:type="spellStart"/>
            <w:r w:rsidRPr="00201C27">
              <w:t>Бакурском</w:t>
            </w:r>
            <w:proofErr w:type="spellEnd"/>
            <w:r w:rsidRPr="00201C27">
              <w:t xml:space="preserve"> 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"Комплексное 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1242,6</w:t>
            </w:r>
          </w:p>
        </w:tc>
      </w:tr>
      <w:tr w:rsidR="00EE72DD" w:rsidRPr="00201C27" w:rsidTr="00EE72DD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Основное мероприятие "Благоустройство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Закупка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92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Иные закупки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8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6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«Организация водоснабжения на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both"/>
            </w:pPr>
            <w:r w:rsidRPr="00201C27"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8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  <w:bCs/>
              </w:rPr>
            </w:pPr>
            <w:r w:rsidRPr="00201C27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201C27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535E05" w:rsidRDefault="00535E05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tabs>
          <w:tab w:val="left" w:pos="8540"/>
        </w:tabs>
      </w:pPr>
    </w:p>
    <w:p w:rsidR="00EE72DD" w:rsidRPr="00463DC5" w:rsidRDefault="00EE72DD" w:rsidP="00EE72DD">
      <w:r>
        <w:lastRenderedPageBreak/>
        <w:t xml:space="preserve">                                                                                                                          Приложение 6</w:t>
      </w:r>
    </w:p>
    <w:p w:rsidR="00EE72DD" w:rsidRDefault="00EE72DD" w:rsidP="00EE72DD">
      <w:r w:rsidRPr="00463DC5">
        <w:t xml:space="preserve"> </w:t>
      </w:r>
      <w:r>
        <w:t xml:space="preserve">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</w:p>
    <w:p w:rsidR="00EE72DD" w:rsidRPr="00D823BD" w:rsidRDefault="00EE72DD" w:rsidP="00EE72DD">
      <w:r>
        <w:t xml:space="preserve">                                                                                             </w:t>
      </w:r>
      <w:r w:rsidR="00535E05">
        <w:t xml:space="preserve">   </w:t>
      </w:r>
      <w:r>
        <w:t xml:space="preserve">   </w:t>
      </w:r>
      <w:r w:rsidR="00535E05" w:rsidRPr="00D4035F">
        <w:rPr>
          <w:szCs w:val="24"/>
        </w:rPr>
        <w:t xml:space="preserve">№ </w:t>
      </w:r>
      <w:r w:rsidR="00535E05">
        <w:rPr>
          <w:szCs w:val="24"/>
        </w:rPr>
        <w:t>69-175</w:t>
      </w:r>
      <w:r w:rsidR="00535E05" w:rsidRPr="00D4035F">
        <w:rPr>
          <w:szCs w:val="24"/>
        </w:rPr>
        <w:t xml:space="preserve">  от</w:t>
      </w:r>
      <w:r w:rsidR="00535E05">
        <w:rPr>
          <w:szCs w:val="24"/>
        </w:rPr>
        <w:t xml:space="preserve"> 12 апреля </w:t>
      </w:r>
      <w:r w:rsidR="00535E05" w:rsidRPr="00D4035F">
        <w:rPr>
          <w:szCs w:val="24"/>
        </w:rPr>
        <w:t xml:space="preserve"> 2022  г</w:t>
      </w:r>
      <w:r>
        <w:t>.</w:t>
      </w: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EE72DD" w:rsidRPr="00565C38" w:rsidRDefault="00EE72DD" w:rsidP="00EE72DD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2021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EE72DD" w:rsidRPr="00565C38" w:rsidRDefault="00EE72DD" w:rsidP="00EE72DD">
            <w:pPr>
              <w:rPr>
                <w:b/>
              </w:rPr>
            </w:pP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>- 1048,6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 -1048,6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>-8072,4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 xml:space="preserve">  7023,8</w:t>
            </w:r>
          </w:p>
        </w:tc>
      </w:tr>
    </w:tbl>
    <w:p w:rsidR="00EE72DD" w:rsidRPr="00463DC5" w:rsidRDefault="00EE72DD" w:rsidP="00EE72DD">
      <w:pPr>
        <w:jc w:val="right"/>
      </w:pPr>
    </w:p>
    <w:p w:rsidR="00EE72DD" w:rsidRDefault="00EE72DD" w:rsidP="00EE72DD"/>
    <w:p w:rsidR="00D4035F" w:rsidRDefault="00D4035F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r>
        <w:lastRenderedPageBreak/>
        <w:t xml:space="preserve">                                                                                                                          Приложение 7</w:t>
      </w:r>
    </w:p>
    <w:p w:rsidR="000F5D25" w:rsidRDefault="000F5D25" w:rsidP="000F5D25">
      <w:r w:rsidRPr="00463DC5">
        <w:t xml:space="preserve"> </w:t>
      </w:r>
      <w:r>
        <w:t xml:space="preserve"> 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0F5D25" w:rsidRPr="00D823BD" w:rsidRDefault="000F5D25" w:rsidP="000F5D25">
      <w:r>
        <w:t xml:space="preserve">                                                                                   </w:t>
      </w:r>
      <w:r w:rsidR="00EB5789">
        <w:t xml:space="preserve">              </w:t>
      </w:r>
      <w:r>
        <w:t xml:space="preserve">   </w:t>
      </w:r>
      <w:r w:rsidR="00535E05" w:rsidRPr="00D4035F">
        <w:rPr>
          <w:szCs w:val="24"/>
        </w:rPr>
        <w:t xml:space="preserve">№ </w:t>
      </w:r>
      <w:r w:rsidR="00535E05">
        <w:rPr>
          <w:szCs w:val="24"/>
        </w:rPr>
        <w:t>69-175</w:t>
      </w:r>
      <w:r w:rsidR="00535E05" w:rsidRPr="00D4035F">
        <w:rPr>
          <w:szCs w:val="24"/>
        </w:rPr>
        <w:t xml:space="preserve">  от</w:t>
      </w:r>
      <w:r w:rsidR="00535E05">
        <w:rPr>
          <w:szCs w:val="24"/>
        </w:rPr>
        <w:t xml:space="preserve"> 12 апреля </w:t>
      </w:r>
      <w:r w:rsidR="00535E05" w:rsidRPr="00D4035F">
        <w:rPr>
          <w:szCs w:val="24"/>
        </w:rPr>
        <w:t xml:space="preserve"> 2022  г</w:t>
      </w:r>
    </w:p>
    <w:p w:rsidR="000F5D25" w:rsidRDefault="000F5D25" w:rsidP="000F5D25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F5D25" w:rsidRPr="00565C38" w:rsidRDefault="000F5D25" w:rsidP="000F5D25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F5D25" w:rsidRDefault="000F5D25" w:rsidP="000F5D25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2021</w:t>
      </w:r>
      <w:r w:rsidRPr="00565C38">
        <w:rPr>
          <w:b/>
        </w:rPr>
        <w:t xml:space="preserve"> год</w:t>
      </w:r>
    </w:p>
    <w:p w:rsidR="000F5D25" w:rsidRDefault="000F5D25" w:rsidP="000F5D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F5D25" w:rsidRPr="00565C38" w:rsidRDefault="000F5D25" w:rsidP="00CF5D6B">
            <w:pPr>
              <w:rPr>
                <w:b/>
              </w:rPr>
            </w:pP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CF5D6B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>-8072,4</w:t>
            </w: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CF5D6B">
            <w:r>
              <w:t>-8072,4</w:t>
            </w: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>7023,8</w:t>
            </w:r>
          </w:p>
        </w:tc>
      </w:tr>
      <w:tr w:rsidR="000F5D25" w:rsidRPr="001532CA" w:rsidTr="00CF5D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CF5D6B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CF5D6B">
            <w:r>
              <w:t>7023,8</w:t>
            </w:r>
          </w:p>
        </w:tc>
      </w:tr>
    </w:tbl>
    <w:p w:rsidR="000F5D25" w:rsidRPr="00463DC5" w:rsidRDefault="000F5D25" w:rsidP="000F5D25">
      <w:pPr>
        <w:jc w:val="right"/>
      </w:pPr>
    </w:p>
    <w:p w:rsidR="000F5D25" w:rsidRDefault="000F5D25" w:rsidP="000F5D25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535E05" w:rsidRDefault="00535E05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 xml:space="preserve">из бюджетов поселений по решению вопросов местного значения в </w:t>
      </w:r>
      <w:r w:rsidRPr="00E8478D">
        <w:rPr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Pr="006B6A84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ED33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F5D25"/>
    <w:rsid w:val="00131093"/>
    <w:rsid w:val="0031708F"/>
    <w:rsid w:val="004405C7"/>
    <w:rsid w:val="004A750D"/>
    <w:rsid w:val="00535E05"/>
    <w:rsid w:val="00657133"/>
    <w:rsid w:val="006C0C67"/>
    <w:rsid w:val="007E5332"/>
    <w:rsid w:val="00807E19"/>
    <w:rsid w:val="008D0CCF"/>
    <w:rsid w:val="00925EC6"/>
    <w:rsid w:val="009F3C46"/>
    <w:rsid w:val="00B658A3"/>
    <w:rsid w:val="00BD295E"/>
    <w:rsid w:val="00C3439C"/>
    <w:rsid w:val="00C66E31"/>
    <w:rsid w:val="00CA397B"/>
    <w:rsid w:val="00CF5D6B"/>
    <w:rsid w:val="00D4035F"/>
    <w:rsid w:val="00D7553D"/>
    <w:rsid w:val="00EB431B"/>
    <w:rsid w:val="00EB5789"/>
    <w:rsid w:val="00ED333C"/>
    <w:rsid w:val="00EE72DD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7054</Words>
  <Characters>40212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2022-04-14T11:02:00Z</cp:lastPrinted>
  <dcterms:created xsi:type="dcterms:W3CDTF">2019-04-02T12:41:00Z</dcterms:created>
  <dcterms:modified xsi:type="dcterms:W3CDTF">2022-04-14T11:08:00Z</dcterms:modified>
</cp:coreProperties>
</file>